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5A" w:rsidRDefault="004C1E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 GRUBNAKA</w:t>
      </w:r>
      <w:r w:rsidR="00A7741E">
        <w:rPr>
          <w:rFonts w:ascii="Times New Roman" w:hAnsi="Times New Roman" w:cs="Times New Roman"/>
          <w:sz w:val="24"/>
          <w:szCs w:val="24"/>
        </w:rPr>
        <w:t xml:space="preserve"> NA TRANSHUMANIZMA</w:t>
      </w:r>
    </w:p>
    <w:bookmarkEnd w:id="0"/>
    <w:p w:rsidR="00A7741E" w:rsidRDefault="00A7741E" w:rsidP="00A774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7741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</w:t>
      </w:r>
      <w:r w:rsidR="002573A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ГРЪБНАКА</w:t>
      </w:r>
      <w:r w:rsidRPr="00A7741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НА ТРАНСХУМАНИЗМА</w:t>
      </w:r>
    </w:p>
    <w:p w:rsidR="00394A7C" w:rsidRPr="00394A7C" w:rsidRDefault="00394A7C" w:rsidP="00A7741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(Или как разбирам аз трансхуманизма!)</w:t>
      </w:r>
    </w:p>
    <w:p w:rsidR="00A7741E" w:rsidRDefault="00A7741E" w:rsidP="00A7741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24271" w:rsidRDefault="00E603B3" w:rsidP="003F0DA9">
      <w:pPr>
        <w:ind w:firstLine="360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 отворим Укипедия за определение на трансхуманизъм ще прочетем:</w:t>
      </w:r>
      <w:r w:rsidRPr="00E603B3">
        <w:rPr>
          <w:rFonts w:ascii="Arial" w:eastAsia="Times New Roman" w:hAnsi="Arial" w:cs="Arial"/>
          <w:b/>
          <w:bCs/>
          <w:color w:val="202122"/>
          <w:sz w:val="24"/>
          <w:szCs w:val="24"/>
          <w:lang w:val="bg-BG"/>
        </w:rPr>
        <w:t xml:space="preserve"> </w:t>
      </w:r>
      <w:r w:rsidR="00724271">
        <w:rPr>
          <w:rFonts w:ascii="Arial" w:eastAsia="Times New Roman" w:hAnsi="Arial" w:cs="Arial"/>
          <w:b/>
          <w:bCs/>
          <w:color w:val="202122"/>
          <w:sz w:val="24"/>
          <w:szCs w:val="24"/>
          <w:lang w:val="bg-BG"/>
        </w:rPr>
        <w:t>„</w:t>
      </w:r>
      <w:r w:rsidRPr="00724271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val="bg-BG"/>
        </w:rPr>
        <w:t>Трансхуманизъм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 (от </w:t>
      </w:r>
      <w:hyperlink r:id="rId9" w:tooltip="Латински език" w:history="1">
        <w:r w:rsidRPr="00724271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val="bg-BG"/>
          </w:rPr>
          <w:t>лат.</w:t>
        </w:r>
      </w:hyperlink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 </w:t>
      </w:r>
      <w:r w:rsidRPr="00724271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bg-BG"/>
        </w:rPr>
        <w:t>trans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 – отвъд и </w:t>
      </w:r>
      <w:r w:rsidRPr="00724271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val="bg-BG"/>
        </w:rPr>
        <w:t>homo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 – човек; изписвано също като </w:t>
      </w:r>
      <w:r w:rsidRPr="0072427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bg-BG"/>
        </w:rPr>
        <w:t>H+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 или </w:t>
      </w:r>
      <w:r w:rsidRPr="0072427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val="bg-BG"/>
        </w:rPr>
        <w:t>h+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) е интернационално интелектуално движение, което поддържа идеята за подобряване на човешките умствени и физически възможности</w:t>
      </w:r>
      <w:r w:rsidR="00724271"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, използвайки новите технологиии. </w:t>
      </w:r>
      <w:r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Трансхуманистите изучават потенциалните възможности и опасности от напредващите технологии, които биха могли да преодолеят фундаменталните човешки ограничения</w:t>
      </w:r>
      <w:r w:rsidR="00724271" w:rsidRP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.</w:t>
      </w:r>
      <w:r w:rsid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“</w:t>
      </w:r>
      <w:r w:rsidR="00724271">
        <w:rPr>
          <w:rStyle w:val="FootnoteReference"/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footnoteReference w:id="1"/>
      </w:r>
      <w:r w:rsid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</w:t>
      </w:r>
    </w:p>
    <w:p w:rsidR="00724271" w:rsidRDefault="00F003B4" w:rsidP="003F0DA9">
      <w:pPr>
        <w:ind w:firstLine="360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Да, съгласен съм</w:t>
      </w:r>
      <w:r w:rsidR="0072427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! </w:t>
      </w:r>
    </w:p>
    <w:p w:rsidR="000E47D1" w:rsidRDefault="00724271" w:rsidP="003F0DA9">
      <w:pPr>
        <w:spacing w:before="100" w:beforeAutospacing="1" w:after="24" w:line="240" w:lineRule="auto"/>
        <w:ind w:firstLine="360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Има, обаче, подробности, които никак не са за подценяване. Преди всичко трябва да се изясни как разбираме това</w:t>
      </w:r>
      <w:r w:rsidR="003832F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подобряване,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самоусъвършенстване и следващо развитие при човека, като индивид и общество. Поставянето на трета цицка и смяната на пола също </w:t>
      </w:r>
      <w:r w:rsidR="00DF1DA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са усъвършенстване от определена гледна точка</w:t>
      </w:r>
      <w:r w:rsidR="00F003B4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. Затова</w:t>
      </w:r>
      <w:r w:rsidR="00DF1DA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и</w:t>
      </w:r>
      <w:r w:rsidR="00F003B4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хора с трансексуа</w:t>
      </w:r>
      <w:r w:rsidR="00471BCC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лна ориентация приемат позициите</w:t>
      </w:r>
      <w:r w:rsidR="00F003B4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на трансхуманизма, а техните организации с охота се включват в потока н</w:t>
      </w:r>
      <w:r w:rsidR="00C163F8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а трансхуманистическото движение</w:t>
      </w:r>
      <w:r w:rsidR="00F003B4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. </w:t>
      </w:r>
      <w:r w:rsidR="000E47D1" w:rsidRPr="000E47D1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Ни най-малко не искам да ги пренебрегвам...</w:t>
      </w:r>
    </w:p>
    <w:p w:rsidR="00C163F8" w:rsidRDefault="00F003B4" w:rsidP="003F0DA9">
      <w:pPr>
        <w:spacing w:before="100" w:beforeAutospacing="1" w:after="24" w:line="240" w:lineRule="auto"/>
        <w:ind w:firstLine="360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Няколко реда по-долу в </w:t>
      </w:r>
      <w:r w:rsidR="003F0DA9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същата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статията</w:t>
      </w:r>
      <w:r w:rsidR="003F0DA9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в Уики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за трансхуманизма се разглеждат технологиите, които ще бъдат използвани за усъвършенстване на човека. </w:t>
      </w:r>
      <w:r w:rsidR="003F0DA9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</w:t>
      </w:r>
    </w:p>
    <w:p w:rsidR="00C163F8" w:rsidRDefault="00F003B4" w:rsidP="003F0DA9">
      <w:pPr>
        <w:spacing w:before="100" w:beforeAutospacing="1" w:after="24" w:line="240" w:lineRule="auto"/>
        <w:ind w:firstLine="384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Четем: допинг,</w:t>
      </w:r>
      <w:r w:rsidR="00DF1DA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крионика, ноотропни средства, невропротезиране, неврокомпютърен интерфейс, изкуствени органи, пластична хирургия, екзоскелет, генно инженерство, качване на съзнанието, екзокортес и пр. </w:t>
      </w:r>
    </w:p>
    <w:p w:rsidR="00E603B3" w:rsidRDefault="00C163F8" w:rsidP="003F0DA9">
      <w:pPr>
        <w:spacing w:before="100" w:beforeAutospacing="1" w:after="24" w:line="240" w:lineRule="auto"/>
        <w:ind w:firstLine="384"/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Допингът, пластичната хирургия и качването на съзнанието са</w:t>
      </w:r>
      <w:r w:rsidR="003F0DA9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едва ли не</w:t>
      </w:r>
      <w:r w:rsidR="003F0DA9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...,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равностойни, както по значимост, така и по сложност. У</w:t>
      </w:r>
      <w:r w:rsidR="00DF1DA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съвършенстване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то на носа и зъбите, като че ли, се оказват</w:t>
      </w:r>
      <w:r w:rsidR="00DF1DA7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 xml:space="preserve"> наравно с удължаване на живота, преодоляване на стареенето и дори с постигането на безсмъртие.</w:t>
      </w:r>
    </w:p>
    <w:p w:rsidR="00C163F8" w:rsidRPr="00F003B4" w:rsidRDefault="00C163F8" w:rsidP="003F0DA9">
      <w:pPr>
        <w:spacing w:before="100" w:beforeAutospacing="1" w:after="24" w:line="240" w:lineRule="auto"/>
        <w:ind w:firstLine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За съжаление трансхуманистическото движение все още не разполага с единна обща теория на човешкото самоусъвършенстване, но такава теория е крайн</w:t>
      </w:r>
      <w:r w:rsidR="00B46EFC">
        <w:rPr>
          <w:rFonts w:ascii="Times New Roman" w:eastAsia="Times New Roman" w:hAnsi="Times New Roman" w:cs="Times New Roman"/>
          <w:color w:val="202122"/>
          <w:sz w:val="24"/>
          <w:szCs w:val="24"/>
          <w:lang w:val="bg-BG"/>
        </w:rPr>
        <w:t>о необходима!</w:t>
      </w:r>
    </w:p>
    <w:p w:rsidR="00471BCC" w:rsidRDefault="00B46EFC" w:rsidP="003F0DA9">
      <w:pPr>
        <w:ind w:firstLine="384"/>
        <w:rPr>
          <w:rFonts w:ascii="Times New Roman" w:hAnsi="Times New Roman" w:cs="Times New Roman"/>
          <w:sz w:val="24"/>
          <w:szCs w:val="24"/>
          <w:lang w:val="bg-BG"/>
        </w:rPr>
      </w:pPr>
      <w:r w:rsidRPr="00834E21">
        <w:rPr>
          <w:rFonts w:ascii="Times New Roman" w:hAnsi="Times New Roman" w:cs="Times New Roman"/>
          <w:sz w:val="24"/>
          <w:szCs w:val="24"/>
          <w:lang w:val="bg-BG"/>
        </w:rPr>
        <w:t>Как аз разбирам</w:t>
      </w:r>
      <w:r w:rsidR="00A7741E" w:rsidRPr="00834E21">
        <w:rPr>
          <w:rFonts w:ascii="Times New Roman" w:hAnsi="Times New Roman" w:cs="Times New Roman"/>
          <w:sz w:val="24"/>
          <w:szCs w:val="24"/>
          <w:lang w:val="bg-BG"/>
        </w:rPr>
        <w:t xml:space="preserve"> това самоусъвършенстване и саморазвитие</w:t>
      </w:r>
      <w:r w:rsidRPr="00834E21">
        <w:rPr>
          <w:rFonts w:ascii="Times New Roman" w:hAnsi="Times New Roman" w:cs="Times New Roman"/>
          <w:sz w:val="24"/>
          <w:szCs w:val="24"/>
          <w:lang w:val="bg-BG"/>
        </w:rPr>
        <w:t xml:space="preserve"> за себе си и за </w:t>
      </w:r>
      <w:r w:rsidR="00471BC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834E21">
        <w:rPr>
          <w:rFonts w:ascii="Times New Roman" w:hAnsi="Times New Roman" w:cs="Times New Roman"/>
          <w:sz w:val="24"/>
          <w:szCs w:val="24"/>
          <w:lang w:val="bg-BG"/>
        </w:rPr>
        <w:t>обществото</w:t>
      </w:r>
      <w:r w:rsidR="00A7741E" w:rsidRPr="00834E21">
        <w:rPr>
          <w:rFonts w:ascii="Times New Roman" w:hAnsi="Times New Roman" w:cs="Times New Roman"/>
          <w:sz w:val="24"/>
          <w:szCs w:val="24"/>
          <w:lang w:val="bg-BG"/>
        </w:rPr>
        <w:t>!?</w:t>
      </w:r>
    </w:p>
    <w:p w:rsidR="003F0DA9" w:rsidRDefault="003F0DA9" w:rsidP="003F0DA9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F0E64" w:rsidRDefault="00471BCC" w:rsidP="003F0DA9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мен за отправна точка би могла да ми послужи една мисъл на Георг Клаус:</w:t>
      </w:r>
      <w:r w:rsidR="00DF0E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0DA9" w:rsidRDefault="00DF0E64" w:rsidP="003F0DA9">
      <w:pPr>
        <w:ind w:firstLine="36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„ ...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съществува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универсална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борба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между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системите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proofErr w:type="gram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тази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борба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се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разрушават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неустойчивите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системи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а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остават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само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устойчивите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и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те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предават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света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неговия</w:t>
      </w:r>
      <w:proofErr w:type="spellEnd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3F0DA9" w:rsidRPr="003F0DA9">
        <w:rPr>
          <w:rFonts w:ascii="Arial" w:eastAsia="Times New Roman" w:hAnsi="Arial" w:cs="Arial"/>
          <w:b/>
          <w:bCs/>
          <w:i/>
          <w:iCs/>
          <w:sz w:val="20"/>
          <w:szCs w:val="20"/>
        </w:rPr>
        <w:t>облик</w:t>
      </w:r>
      <w:proofErr w:type="spellEnd"/>
      <w:r w:rsidR="003F0DA9" w:rsidRPr="003F0DA9">
        <w:rPr>
          <w:rFonts w:ascii="Arial" w:eastAsia="Times New Roman" w:hAnsi="Arial" w:cs="Arial"/>
          <w:bCs/>
          <w:i/>
          <w:iCs/>
          <w:sz w:val="24"/>
          <w:szCs w:val="24"/>
        </w:rPr>
        <w:t>.”</w:t>
      </w:r>
      <w:proofErr w:type="gramEnd"/>
      <w:r w:rsidR="003F0DA9" w:rsidRPr="003F0D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2"/>
      </w:r>
    </w:p>
    <w:p w:rsidR="005F6C03" w:rsidRDefault="004714AC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 света, това</w:t>
      </w:r>
      <w:r w:rsidR="00A83D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еволюира, развива и усъвършенства са системите, при това</w:t>
      </w:r>
      <w:r w:rsidR="00A83D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всички системи са способни да го направят. Коренът на критерия за развитие и усъвършенстване, общият за всички системи системообразуващ фактор е ОЦЕЛЯВАНЕТО! На него пряко или косвено са подчинени всички останали причини за възникване на една или друга система (или подсистема!) Ние, като субекти на познанието сме облагодетелствани, защото осъзнавайки това</w:t>
      </w:r>
      <w:r w:rsidR="005F6C0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A83D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можем да направим проверка и да разгърнем тези </w:t>
      </w:r>
      <w:r w:rsidR="005F6C03">
        <w:rPr>
          <w:rFonts w:ascii="Times New Roman" w:eastAsia="Times New Roman" w:hAnsi="Times New Roman" w:cs="Times New Roman"/>
          <w:sz w:val="24"/>
          <w:szCs w:val="24"/>
          <w:lang w:val="bg-BG"/>
        </w:rPr>
        <w:t>идеи на всички нива на знанието. О</w:t>
      </w:r>
      <w:r w:rsidR="00A83D4D">
        <w:rPr>
          <w:rFonts w:ascii="Times New Roman" w:eastAsia="Times New Roman" w:hAnsi="Times New Roman" w:cs="Times New Roman"/>
          <w:sz w:val="24"/>
          <w:szCs w:val="24"/>
          <w:lang w:val="bg-BG"/>
        </w:rPr>
        <w:t>т диалектика на категориите „запазване“ и „изменение“, през обща теория на системите и конкретните системни теории</w:t>
      </w:r>
      <w:r w:rsidR="005F6C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конкретните форми на оцеляване – минимизация на свободната енергия, потоци от енергия и ентропия при отворените системи, кооперативно кохерентно поведение на елементите, самоорганизация, управление, информация и самозапазване.</w:t>
      </w:r>
    </w:p>
    <w:p w:rsidR="00351D01" w:rsidRDefault="005F6C03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Ние хората, като системи от определен тип имаме мисия и нашата мисия е да оцелеем!</w:t>
      </w:r>
    </w:p>
    <w:p w:rsidR="00F57F15" w:rsidRDefault="00F57426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Възникнали сме и сме се развили до настоящото състояние на една благоприятна, щадяща и закриляща,„райска“ планета.</w:t>
      </w:r>
      <w:r w:rsidR="00A83D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 космическото пространство, което ни заобикаля в близост и по-далече съвсем не е толкова благоразположено и съдържа в себе си страховити опасности, които могат да прекратят нашето съществуване за миг. От друга страна нашата природа е агресивна и експанзионистична, което доведе до това, че планета-майка Земя, започна сериозно да се задъхва от нашата дейност. </w:t>
      </w:r>
      <w:r w:rsidR="00351D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Ние самите, въпреки че сме същества от един и същи вид, оказвайки се на тясно, заставаме един срещу друг и повтаряме грешките от първата системна криза на човечеството – човекоядството. Но днес нашите зъби са толкова големи и разрушителни, че могат без затруднение да строшат планетата като орех. </w:t>
      </w:r>
    </w:p>
    <w:p w:rsidR="00351D01" w:rsidRDefault="00351D01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Има и още нещо – разполагаме с огромна информация </w:t>
      </w:r>
      <w:r w:rsidR="00AF4DF4">
        <w:rPr>
          <w:rFonts w:ascii="Times New Roman" w:eastAsia="Times New Roman" w:hAnsi="Times New Roman" w:cs="Times New Roman"/>
          <w:sz w:val="24"/>
          <w:szCs w:val="24"/>
          <w:lang w:val="bg-BG"/>
        </w:rPr>
        <w:t>и като общество и като индивиди! 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азполагаме с немислими</w:t>
      </w:r>
      <w:r w:rsidR="00AF4DF4">
        <w:rPr>
          <w:rFonts w:ascii="Times New Roman" w:eastAsia="Times New Roman" w:hAnsi="Times New Roman" w:cs="Times New Roman"/>
          <w:sz w:val="24"/>
          <w:szCs w:val="24"/>
          <w:lang w:val="bg-BG"/>
        </w:rPr>
        <w:t>, само преди десетилетия, средства за комуникация и усилване на интелекта. Всеки един от нас може да почерпи знание, толкова колкото му е необходимо! Всеки един, може да надникне в себе си, вече не толкова наивно и да осъзнае фундаментални ценности. Да осъзнае ценността на ресурса време и да помисли, без свенливо да прекрива погледа си, за лично безсмъртие.</w:t>
      </w:r>
    </w:p>
    <w:p w:rsidR="00DF6E28" w:rsidRDefault="00AF4DF4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Това са много</w:t>
      </w:r>
      <w:r w:rsidR="00F574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важни причини, които</w:t>
      </w:r>
      <w:r w:rsidR="00351D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ни карат сериозно да се замислим по въ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проса за нашето усъвършенстване и различните трансхуманистични проекти.</w:t>
      </w:r>
      <w:r w:rsidR="00337B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 те са твърде различни! Проектите за усъвършенстване на човека, както вече споменах варират от </w:t>
      </w:r>
      <w:r w:rsidR="00337B6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зъбните протези, промяна на формата на носа и смяна на пола ...до изкуствени органи, спиране на процесите на стареенето и не на последно място постигане на практическо лично безсмъртие, чрез някакъв вариант на </w:t>
      </w:r>
      <w:r w:rsidR="00337B67">
        <w:rPr>
          <w:rFonts w:ascii="Times New Roman" w:eastAsia="Times New Roman" w:hAnsi="Times New Roman" w:cs="Times New Roman"/>
          <w:sz w:val="24"/>
          <w:szCs w:val="24"/>
        </w:rPr>
        <w:t>mind uploading.</w:t>
      </w:r>
    </w:p>
    <w:p w:rsidR="00337B67" w:rsidRDefault="00CF3BE9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човешки индивид е сложна система състояща се от много и различни подсистеми, но две определящи го качествено различни подсистеми се констатират лесно! Това са личността ( индивидуалната психика, съзнанието и самосъзнанието, които възникват спонтанно ) и организма, който наслеждаме от нашите родители и е наша </w:t>
      </w:r>
      <w:r w:rsidR="00C9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индивидуална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природна</w:t>
      </w:r>
      <w:r w:rsidR="00C9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даденост. Въпреки че, ние сме изключително привързани към телата си, не можем да не осъзнаем, че нашата съкровена същност е личността, а не биологическия организъм, който е нейния</w:t>
      </w:r>
      <w:r w:rsidR="006D7E5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C9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носител. Не можем да не осъзнаем, че точно личността притежава потенциала за неограничено усъвършенстване и развитие, за разлика от нашите биологични тела, които са възникнали на Земята и са</w:t>
      </w:r>
      <w:r w:rsidR="00E622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здраво свързани и приспособени към нейните условия, но са твърде уязвими и непригод</w:t>
      </w:r>
      <w:r w:rsidR="00AC42EE">
        <w:rPr>
          <w:rFonts w:ascii="Times New Roman" w:eastAsia="Times New Roman" w:hAnsi="Times New Roman" w:cs="Times New Roman"/>
          <w:sz w:val="24"/>
          <w:szCs w:val="24"/>
          <w:lang w:val="bg-BG"/>
        </w:rPr>
        <w:t>ни за условията на космическото пространство. Не само..., те дори са непригодни и тромави за високите темпове на социален растеж и развитието на личността, която носят. Колкото и да ги обичаме, точно нашите биологични тела се превръщат, от един момент на  онтогенетичното развитие нататък, в окови за личността.</w:t>
      </w:r>
    </w:p>
    <w:p w:rsidR="0063425B" w:rsidRDefault="0063425B" w:rsidP="003F0DA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Важно е да се осъзнае, че личността по своята природа е система от информация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bg-BG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това си качество може да съществува, да се развива и усъвършенства в небиологични носители, стига те да предоставят подходящо пространство</w:t>
      </w:r>
      <w:r w:rsidR="00B149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паметта и процесите в нея свързани с психиката, съзнанието и самосъзнанието. Това позволява да се говори и работи по проекти за „преселване“и неограничено съществуване и развитие на човешката личност в поредица от организми-носители с определена приемственост и нарастващо съвършенство, избягвайки стареенето и смъртта</w:t>
      </w:r>
      <w:r w:rsidR="008E29B2">
        <w:rPr>
          <w:rFonts w:ascii="Times New Roman" w:eastAsia="Times New Roman" w:hAnsi="Times New Roman" w:cs="Times New Roman"/>
          <w:sz w:val="24"/>
          <w:szCs w:val="24"/>
          <w:lang w:val="bg-BG"/>
        </w:rPr>
        <w:t>. Такива трансхуманистични проекти могат да се назоват: кибернетичния вариант на лично безсмъртие</w:t>
      </w:r>
      <w:r w:rsidR="008E29B2">
        <w:rPr>
          <w:rStyle w:val="FootnoteReference"/>
          <w:rFonts w:ascii="Times New Roman" w:eastAsia="Times New Roman" w:hAnsi="Times New Roman" w:cs="Times New Roman"/>
          <w:sz w:val="24"/>
          <w:szCs w:val="24"/>
          <w:lang w:val="bg-BG"/>
        </w:rPr>
        <w:footnoteReference w:id="4"/>
      </w:r>
      <w:r w:rsidR="008E29B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D29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сетлеретика</w:t>
      </w:r>
      <w:r w:rsidR="001D2992">
        <w:rPr>
          <w:rStyle w:val="FootnoteReference"/>
          <w:rFonts w:ascii="Times New Roman" w:eastAsia="Times New Roman" w:hAnsi="Times New Roman" w:cs="Times New Roman"/>
          <w:sz w:val="24"/>
          <w:szCs w:val="24"/>
          <w:lang w:val="bg-BG"/>
        </w:rPr>
        <w:footnoteReference w:id="5"/>
      </w:r>
      <w:r w:rsidR="001D2992">
        <w:rPr>
          <w:rFonts w:ascii="Times New Roman" w:eastAsia="Times New Roman" w:hAnsi="Times New Roman" w:cs="Times New Roman"/>
          <w:sz w:val="24"/>
          <w:szCs w:val="24"/>
          <w:lang w:val="bg-BG"/>
        </w:rPr>
        <w:t>; субстратно независим ум</w:t>
      </w:r>
      <w:r w:rsidR="001D2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9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цялостна мозъчна емулация </w:t>
      </w:r>
      <w:r w:rsidR="001D2992">
        <w:rPr>
          <w:rFonts w:ascii="Times New Roman" w:eastAsia="Times New Roman" w:hAnsi="Times New Roman" w:cs="Times New Roman"/>
          <w:sz w:val="24"/>
          <w:szCs w:val="24"/>
        </w:rPr>
        <w:t>WBE</w:t>
      </w:r>
      <w:r w:rsidR="001D299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1D29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7270A" w:rsidRPr="00D7270A">
        <w:rPr>
          <w:rFonts w:ascii="Times New Roman" w:hAnsi="Times New Roman" w:cs="Times New Roman"/>
          <w:sz w:val="24"/>
          <w:szCs w:val="24"/>
        </w:rPr>
        <w:t>Coalescing Minds</w:t>
      </w:r>
      <w:r w:rsidR="00D7270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D7270A">
        <w:rPr>
          <w:rFonts w:ascii="Times New Roman" w:hAnsi="Times New Roman" w:cs="Times New Roman"/>
          <w:sz w:val="24"/>
          <w:szCs w:val="24"/>
          <w:lang w:val="bg-BG"/>
        </w:rPr>
        <w:t xml:space="preserve">и създаване на екзокортес-приемник и др. Всички те могат да бъдат обединени под общото название качване на ума или </w:t>
      </w:r>
      <w:r w:rsidR="00D7270A">
        <w:rPr>
          <w:rFonts w:ascii="Times New Roman" w:hAnsi="Times New Roman" w:cs="Times New Roman"/>
          <w:sz w:val="24"/>
          <w:szCs w:val="24"/>
        </w:rPr>
        <w:t>mind uploading.</w:t>
      </w:r>
    </w:p>
    <w:p w:rsidR="00431699" w:rsidRDefault="00431699" w:rsidP="003F0DA9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да се докаже, като се пренебрегнат различията в подходите към </w:t>
      </w:r>
      <w:r>
        <w:rPr>
          <w:rFonts w:ascii="Times New Roman" w:hAnsi="Times New Roman" w:cs="Times New Roman"/>
          <w:sz w:val="24"/>
          <w:szCs w:val="24"/>
        </w:rPr>
        <w:t>mind uploading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че този мегапроект предлага усъвършенстване на човека, като индивид, по един екстремален начин, реализирайки оптималност. Той е насочен директно към целта – постигане на оцеляване и непрекъснато усъвършенстване, при това по оптимален начин.</w:t>
      </w:r>
      <w:r w:rsidR="00A4212E">
        <w:rPr>
          <w:rFonts w:ascii="Times New Roman" w:hAnsi="Times New Roman" w:cs="Times New Roman"/>
          <w:sz w:val="24"/>
          <w:szCs w:val="24"/>
          <w:lang w:val="bg-BG"/>
        </w:rPr>
        <w:t xml:space="preserve"> Той динамизира, както развитието и усъвършенстването на личността, така и развитието и </w:t>
      </w:r>
      <w:r w:rsidR="00A4212E">
        <w:rPr>
          <w:rFonts w:ascii="Times New Roman" w:hAnsi="Times New Roman" w:cs="Times New Roman"/>
          <w:sz w:val="24"/>
          <w:szCs w:val="24"/>
          <w:lang w:val="bg-BG"/>
        </w:rPr>
        <w:lastRenderedPageBreak/>
        <w:t>усъвършенстването на носещата подсистема – изкуствения организъм. Заедно с това се постига и възможно най-високата степен на запазване на личността: неограничено съществуване във времето,т.е. свръхзапазване.</w:t>
      </w:r>
      <w:r w:rsidR="00DC47C7">
        <w:rPr>
          <w:rFonts w:ascii="Times New Roman" w:hAnsi="Times New Roman" w:cs="Times New Roman"/>
          <w:sz w:val="24"/>
          <w:szCs w:val="24"/>
          <w:lang w:val="bg-BG"/>
        </w:rPr>
        <w:t xml:space="preserve"> Тези идеи отреждат място на човека и човечеството</w:t>
      </w:r>
      <w:r w:rsidR="00A379B6">
        <w:rPr>
          <w:rFonts w:ascii="Times New Roman" w:hAnsi="Times New Roman" w:cs="Times New Roman"/>
          <w:sz w:val="24"/>
          <w:szCs w:val="24"/>
          <w:lang w:val="bg-BG"/>
        </w:rPr>
        <w:t xml:space="preserve"> във Вселената не в нищо не значещата периферия, а в центъра, превръщайки го в централен фактор за вселенските процеси.</w:t>
      </w:r>
    </w:p>
    <w:p w:rsidR="00A4212E" w:rsidRPr="00A4212E" w:rsidRDefault="00A4212E" w:rsidP="003F0DA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Това ми дава основание да си мисля, че </w:t>
      </w:r>
      <w:r>
        <w:rPr>
          <w:rFonts w:ascii="Times New Roman" w:hAnsi="Times New Roman" w:cs="Times New Roman"/>
          <w:sz w:val="24"/>
          <w:szCs w:val="24"/>
        </w:rPr>
        <w:t xml:space="preserve">mind uploading </w:t>
      </w:r>
      <w:r>
        <w:rPr>
          <w:rFonts w:ascii="Times New Roman" w:hAnsi="Times New Roman" w:cs="Times New Roman"/>
          <w:sz w:val="24"/>
          <w:szCs w:val="24"/>
          <w:lang w:val="bg-BG"/>
        </w:rPr>
        <w:t>е най-важната и централна идея в цялото трансхуманис</w:t>
      </w:r>
      <w:r w:rsidR="00D53017">
        <w:rPr>
          <w:rFonts w:ascii="Times New Roman" w:hAnsi="Times New Roman" w:cs="Times New Roman"/>
          <w:sz w:val="24"/>
          <w:szCs w:val="24"/>
          <w:lang w:val="bg-BG"/>
        </w:rPr>
        <w:t xml:space="preserve">тично движение. </w:t>
      </w:r>
      <w:r w:rsidR="00E94477">
        <w:rPr>
          <w:rFonts w:ascii="Times New Roman" w:hAnsi="Times New Roman" w:cs="Times New Roman"/>
          <w:sz w:val="24"/>
          <w:szCs w:val="24"/>
          <w:lang w:val="bg-BG"/>
        </w:rPr>
        <w:t>Именно т</w:t>
      </w:r>
      <w:r w:rsidR="00D53017">
        <w:rPr>
          <w:rFonts w:ascii="Times New Roman" w:hAnsi="Times New Roman" w:cs="Times New Roman"/>
          <w:sz w:val="24"/>
          <w:szCs w:val="24"/>
          <w:lang w:val="bg-BG"/>
        </w:rPr>
        <w:t xml:space="preserve">ази идея неизбежно ще </w:t>
      </w:r>
      <w:r>
        <w:rPr>
          <w:rFonts w:ascii="Times New Roman" w:hAnsi="Times New Roman" w:cs="Times New Roman"/>
          <w:sz w:val="24"/>
          <w:szCs w:val="24"/>
          <w:lang w:val="bg-BG"/>
        </w:rPr>
        <w:t>бъде в основата на общата теория на трансхуманизма</w:t>
      </w:r>
      <w:r w:rsidR="00D53017">
        <w:rPr>
          <w:rFonts w:ascii="Times New Roman" w:hAnsi="Times New Roman" w:cs="Times New Roman"/>
          <w:sz w:val="24"/>
          <w:szCs w:val="24"/>
          <w:lang w:val="bg-BG"/>
        </w:rPr>
        <w:t xml:space="preserve"> и ще му позволи да направи научно обосновани тангенти по всички въпроси – от философията до политическата практика. От това как ще бъде развита тя на теоретично и експериментално-технологично равнище ще зависят всички останали идеи за усилване и усъвършенстване на човека и като индивид и като общество.</w:t>
      </w:r>
    </w:p>
    <w:p w:rsidR="00471BCC" w:rsidRDefault="00471BCC" w:rsidP="00471BCC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7741E" w:rsidRPr="00834E21" w:rsidRDefault="00A7741E" w:rsidP="00471B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4E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741E" w:rsidRDefault="00A7741E" w:rsidP="006D7E5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7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D6" w:rsidRDefault="00FF1BD6" w:rsidP="00724271">
      <w:pPr>
        <w:spacing w:after="0" w:line="240" w:lineRule="auto"/>
      </w:pPr>
      <w:r>
        <w:separator/>
      </w:r>
    </w:p>
  </w:endnote>
  <w:endnote w:type="continuationSeparator" w:id="0">
    <w:p w:rsidR="00FF1BD6" w:rsidRDefault="00FF1BD6" w:rsidP="007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D6" w:rsidRDefault="00FF1BD6" w:rsidP="00724271">
      <w:pPr>
        <w:spacing w:after="0" w:line="240" w:lineRule="auto"/>
      </w:pPr>
      <w:r>
        <w:separator/>
      </w:r>
    </w:p>
  </w:footnote>
  <w:footnote w:type="continuationSeparator" w:id="0">
    <w:p w:rsidR="00FF1BD6" w:rsidRDefault="00FF1BD6" w:rsidP="00724271">
      <w:pPr>
        <w:spacing w:after="0" w:line="240" w:lineRule="auto"/>
      </w:pPr>
      <w:r>
        <w:continuationSeparator/>
      </w:r>
    </w:p>
  </w:footnote>
  <w:footnote w:id="1">
    <w:p w:rsidR="00724271" w:rsidRDefault="0072427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0E64">
          <w:rPr>
            <w:rStyle w:val="Hyperlink"/>
            <w:rFonts w:ascii="Times New Roman" w:hAnsi="Times New Roman" w:cs="Times New Roman"/>
            <w:sz w:val="16"/>
            <w:szCs w:val="16"/>
          </w:rPr>
          <w:t>https://bg.wikipedia.org/wiki/%D0%A2%D1%80%D0%B0%D0%BD%D1%81%D1%85%D1%83%D0%BC%D0%B0%D0%BD%D0%B8%D0%B7%D1%8A%D0%BC</w:t>
        </w:r>
      </w:hyperlink>
    </w:p>
    <w:p w:rsidR="00724271" w:rsidRPr="00724271" w:rsidRDefault="00724271">
      <w:pPr>
        <w:pStyle w:val="FootnoteText"/>
        <w:rPr>
          <w:lang w:val="bg-BG"/>
        </w:rPr>
      </w:pPr>
    </w:p>
  </w:footnote>
  <w:footnote w:id="2">
    <w:p w:rsidR="00DF0E64" w:rsidRPr="00DF0E64" w:rsidRDefault="00DF0E6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DF0E64">
        <w:rPr>
          <w:rFonts w:ascii="Times New Roman" w:eastAsia="Calibri" w:hAnsi="Times New Roman" w:cs="Times New Roman"/>
          <w:sz w:val="16"/>
          <w:szCs w:val="16"/>
          <w:lang w:val="ru-RU"/>
        </w:rPr>
        <w:t>Клаус Г., Кибернетика и философия., 1963г., стр.151</w:t>
      </w:r>
    </w:p>
  </w:footnote>
  <w:footnote w:id="3">
    <w:p w:rsidR="0063425B" w:rsidRPr="0063425B" w:rsidRDefault="0063425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В.И.Кремянский, Методологические проблемы системного подхода к информации, М.,1977г. „Наука“</w:t>
      </w:r>
    </w:p>
  </w:footnote>
  <w:footnote w:id="4">
    <w:p w:rsidR="008E29B2" w:rsidRPr="008E29B2" w:rsidRDefault="008E29B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proofErr w:type="gramStart"/>
        <w:r w:rsidRPr="00752599">
          <w:rPr>
            <w:rStyle w:val="Hyperlink"/>
          </w:rPr>
          <w:t>https://www.tanyukolev.eu/</w:t>
        </w:r>
      </w:hyperlink>
      <w:r>
        <w:rPr>
          <w:lang w:val="bg-BG"/>
        </w:rPr>
        <w:t xml:space="preserve"> </w:t>
      </w:r>
      <w:r>
        <w:rPr>
          <w:lang w:val="bg-BG"/>
        </w:rPr>
        <w:t xml:space="preserve">; </w:t>
      </w:r>
      <w:r>
        <w:rPr>
          <w:lang w:val="bg-BG"/>
        </w:rPr>
        <w:fldChar w:fldCharType="begin"/>
      </w:r>
      <w:r>
        <w:rPr>
          <w:lang w:val="bg-BG"/>
        </w:rPr>
        <w:instrText xml:space="preserve"> HYPERLINK "</w:instrText>
      </w:r>
      <w:r w:rsidRPr="008E29B2">
        <w:rPr>
          <w:lang w:val="bg-BG"/>
        </w:rPr>
        <w:instrText>https://subspecieaeternitatis.org/bg/</w:instrText>
      </w:r>
      <w:r>
        <w:rPr>
          <w:lang w:val="bg-BG"/>
        </w:rPr>
        <w:instrText xml:space="preserve">" </w:instrText>
      </w:r>
      <w:r>
        <w:rPr>
          <w:lang w:val="bg-BG"/>
        </w:rPr>
        <w:fldChar w:fldCharType="separate"/>
      </w:r>
      <w:r w:rsidRPr="00752599">
        <w:rPr>
          <w:rStyle w:val="Hyperlink"/>
          <w:lang w:val="bg-BG"/>
        </w:rPr>
        <w:t>https://subspecieaeternitatis.org/bg/</w:t>
      </w:r>
      <w:r>
        <w:rPr>
          <w:lang w:val="bg-BG"/>
        </w:rPr>
        <w:fldChar w:fldCharType="end"/>
      </w:r>
      <w:r>
        <w:rPr>
          <w:lang w:val="bg-BG"/>
        </w:rPr>
        <w:t xml:space="preserve"> .</w:t>
      </w:r>
      <w:proofErr w:type="gramEnd"/>
    </w:p>
  </w:footnote>
  <w:footnote w:id="5">
    <w:p w:rsidR="001D2992" w:rsidRDefault="001D2992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52599">
          <w:rPr>
            <w:rStyle w:val="Hyperlink"/>
          </w:rPr>
          <w:t>https://settleretics.ru/bg/home</w:t>
        </w:r>
      </w:hyperlink>
      <w:r>
        <w:rPr>
          <w:lang w:val="bg-BG"/>
        </w:rPr>
        <w:t xml:space="preserve"> ;</w:t>
      </w:r>
    </w:p>
    <w:p w:rsidR="001D2992" w:rsidRPr="001D2992" w:rsidRDefault="001D2992">
      <w:pPr>
        <w:pStyle w:val="FootnoteText"/>
        <w:rPr>
          <w:lang w:val="bg-BG"/>
        </w:rPr>
      </w:pPr>
    </w:p>
  </w:footnote>
  <w:footnote w:id="6">
    <w:p w:rsidR="001D2992" w:rsidRDefault="001D29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752599">
          <w:rPr>
            <w:rStyle w:val="Hyperlink"/>
          </w:rPr>
          <w:t>https://carboncopies.org/#</w:t>
        </w:r>
      </w:hyperlink>
      <w:r>
        <w:t xml:space="preserve"> ;</w:t>
      </w:r>
    </w:p>
  </w:footnote>
  <w:footnote w:id="7">
    <w:p w:rsidR="00D7270A" w:rsidRDefault="00D727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Sotala</w:t>
      </w:r>
      <w:proofErr w:type="spellEnd"/>
      <w:r>
        <w:t xml:space="preserve">, </w:t>
      </w:r>
      <w:proofErr w:type="spellStart"/>
      <w:r>
        <w:t>Harri</w:t>
      </w:r>
      <w:proofErr w:type="spellEnd"/>
      <w:r>
        <w:t xml:space="preserve"> </w:t>
      </w:r>
      <w:proofErr w:type="spellStart"/>
      <w:r>
        <w:t>Valpola</w:t>
      </w:r>
      <w:proofErr w:type="spellEnd"/>
      <w:r>
        <w:t>, Coalescing Minds: Brain Uploading-Related Group Mind Scenarios,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F4"/>
    <w:multiLevelType w:val="multilevel"/>
    <w:tmpl w:val="6FC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07CC"/>
    <w:multiLevelType w:val="multilevel"/>
    <w:tmpl w:val="845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A4036"/>
    <w:multiLevelType w:val="hybridMultilevel"/>
    <w:tmpl w:val="D680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1E"/>
    <w:rsid w:val="000C5FC7"/>
    <w:rsid w:val="000E47D1"/>
    <w:rsid w:val="001930E8"/>
    <w:rsid w:val="001D2992"/>
    <w:rsid w:val="002573A2"/>
    <w:rsid w:val="00337B67"/>
    <w:rsid w:val="00351D01"/>
    <w:rsid w:val="003832F7"/>
    <w:rsid w:val="00394A7C"/>
    <w:rsid w:val="003F0DA9"/>
    <w:rsid w:val="00431699"/>
    <w:rsid w:val="004714AC"/>
    <w:rsid w:val="00471BCC"/>
    <w:rsid w:val="004C1E21"/>
    <w:rsid w:val="005E0740"/>
    <w:rsid w:val="005F6C03"/>
    <w:rsid w:val="0063425B"/>
    <w:rsid w:val="006D7E53"/>
    <w:rsid w:val="00724271"/>
    <w:rsid w:val="00823180"/>
    <w:rsid w:val="00834E21"/>
    <w:rsid w:val="008E29B2"/>
    <w:rsid w:val="00A379B6"/>
    <w:rsid w:val="00A4212E"/>
    <w:rsid w:val="00A649AD"/>
    <w:rsid w:val="00A7741E"/>
    <w:rsid w:val="00A83D4D"/>
    <w:rsid w:val="00AC42EE"/>
    <w:rsid w:val="00AF3B88"/>
    <w:rsid w:val="00AF4DF4"/>
    <w:rsid w:val="00B149CC"/>
    <w:rsid w:val="00B46EFC"/>
    <w:rsid w:val="00C163F8"/>
    <w:rsid w:val="00C93A3C"/>
    <w:rsid w:val="00CF3BE9"/>
    <w:rsid w:val="00D53017"/>
    <w:rsid w:val="00D7270A"/>
    <w:rsid w:val="00D97D59"/>
    <w:rsid w:val="00DC47C7"/>
    <w:rsid w:val="00DF0E64"/>
    <w:rsid w:val="00DF1DA7"/>
    <w:rsid w:val="00DF6E28"/>
    <w:rsid w:val="00E603B3"/>
    <w:rsid w:val="00E622D9"/>
    <w:rsid w:val="00E94477"/>
    <w:rsid w:val="00F003B4"/>
    <w:rsid w:val="00F57426"/>
    <w:rsid w:val="00F57F1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2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2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g.wikipedia.org/wiki/%D0%9B%D0%B0%D1%82%D0%B8%D0%BD%D1%81%D0%BA%D0%B8_%D0%B5%D0%B7%D0%B8%D0%B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ttleretics.ru/bg/home" TargetMode="External"/><Relationship Id="rId2" Type="http://schemas.openxmlformats.org/officeDocument/2006/relationships/hyperlink" Target="https://www.tanyukolev.eu/" TargetMode="External"/><Relationship Id="rId1" Type="http://schemas.openxmlformats.org/officeDocument/2006/relationships/hyperlink" Target="https://bg.wikipedia.org/wiki/%D0%A2%D1%80%D0%B0%D0%BD%D1%81%D1%85%D1%83%D0%BC%D0%B0%D0%BD%D0%B8%D0%B7%D1%8A%D0%BC" TargetMode="External"/><Relationship Id="rId4" Type="http://schemas.openxmlformats.org/officeDocument/2006/relationships/hyperlink" Target="https://carboncop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B585-29EF-43F9-93BD-A68175F6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 Kolev</dc:creator>
  <cp:lastModifiedBy>Tanyu Kolev</cp:lastModifiedBy>
  <cp:revision>15</cp:revision>
  <dcterms:created xsi:type="dcterms:W3CDTF">2021-03-15T09:07:00Z</dcterms:created>
  <dcterms:modified xsi:type="dcterms:W3CDTF">2021-03-16T13:20:00Z</dcterms:modified>
</cp:coreProperties>
</file>